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DA795D" w:rsidRPr="00520C97" w:rsidRDefault="00DA795D" w:rsidP="0055698C">
      <w:pPr>
        <w:spacing w:line="360" w:lineRule="auto"/>
        <w:jc w:val="center"/>
        <w:rPr>
          <w:rFonts w:ascii="Bookman Old Style" w:hAnsi="Bookman Old Style"/>
          <w:sz w:val="40"/>
        </w:rPr>
      </w:pPr>
      <w:r w:rsidRPr="00520C97">
        <w:rPr>
          <w:rFonts w:ascii="Bookman Old Style" w:hAnsi="Bookman Old Style"/>
          <w:sz w:val="40"/>
        </w:rPr>
        <w:t>“Writer to Writer”</w:t>
      </w:r>
    </w:p>
    <w:p w:rsidR="00DA795D" w:rsidRPr="00520C97" w:rsidRDefault="00520C97" w:rsidP="00874E7E">
      <w:pPr>
        <w:spacing w:line="360" w:lineRule="auto"/>
        <w:ind w:firstLine="720"/>
        <w:rPr>
          <w:rFonts w:ascii="Bookman Old Style" w:hAnsi="Bookman Old Style"/>
        </w:rPr>
      </w:pPr>
      <w:r w:rsidRPr="00520C97">
        <w:rPr>
          <w:rFonts w:ascii="Bookman Old Style" w:hAnsi="Bookman Old Style"/>
          <w:b/>
        </w:rPr>
        <w:t>“</w:t>
      </w:r>
      <w:r w:rsidR="00DA795D" w:rsidRPr="00520C97">
        <w:rPr>
          <w:rFonts w:ascii="Bookman Old Style" w:hAnsi="Bookman Old Style"/>
        </w:rPr>
        <w:t>The thing is, ‘A writer is somebody for whom writing is more difficult than it is for other people.’</w:t>
      </w:r>
      <w:r w:rsidR="00DA795D" w:rsidRPr="00520C97">
        <w:rPr>
          <w:rStyle w:val="EndnoteReference"/>
          <w:rFonts w:ascii="Bookman Old Style" w:hAnsi="Bookman Old Style"/>
        </w:rPr>
        <w:endnoteReference w:id="0"/>
      </w:r>
      <w:r w:rsidR="00DA795D" w:rsidRPr="00520C97">
        <w:rPr>
          <w:rFonts w:ascii="Bookman Old Style" w:hAnsi="Bookman Old Style"/>
        </w:rPr>
        <w:t xml:space="preserve">  For us, ‘Writing is a process of self-discipline you must learn before you can call yourself a writer.  There are people who write, but I think they’re quite different from people who must write.’</w:t>
      </w:r>
      <w:r w:rsidR="00DA795D" w:rsidRPr="00520C97">
        <w:rPr>
          <w:rStyle w:val="EndnoteReference"/>
          <w:rFonts w:ascii="Bookman Old Style" w:hAnsi="Bookman Old Style"/>
        </w:rPr>
        <w:endnoteReference w:id="1"/>
      </w:r>
      <w:r w:rsidR="00DA795D" w:rsidRPr="00520C97">
        <w:rPr>
          <w:rFonts w:ascii="Bookman Old Style" w:hAnsi="Bookman Old Style"/>
        </w:rPr>
        <w:t xml:space="preserve">  Writers know that ‘The difference between the right word and the almost right word is the difference between lightning and a lightning bug.’</w:t>
      </w:r>
      <w:r w:rsidR="00DA795D" w:rsidRPr="00520C97">
        <w:rPr>
          <w:rStyle w:val="EndnoteReference"/>
          <w:rFonts w:ascii="Bookman Old Style" w:hAnsi="Bookman Old Style"/>
        </w:rPr>
        <w:endnoteReference w:id="2"/>
      </w:r>
      <w:r w:rsidR="00DA795D" w:rsidRPr="00520C97">
        <w:rPr>
          <w:rFonts w:ascii="Bookman Old Style" w:hAnsi="Bookman Old Style"/>
        </w:rPr>
        <w:t xml:space="preserve">  Live greatly, for ‘My ideas usually come not at my desk, but in the midst of living,’</w:t>
      </w:r>
      <w:r w:rsidR="00DA795D" w:rsidRPr="00520C97">
        <w:rPr>
          <w:rStyle w:val="EndnoteReference"/>
          <w:rFonts w:ascii="Bookman Old Style" w:hAnsi="Bookman Old Style"/>
        </w:rPr>
        <w:endnoteReference w:id="3"/>
      </w:r>
      <w:r w:rsidR="00DA795D" w:rsidRPr="00520C97">
        <w:rPr>
          <w:rFonts w:ascii="Bookman Old Style" w:hAnsi="Bookman Old Style"/>
        </w:rPr>
        <w:t xml:space="preserve"> but ‘I’m really only alive when I’m writing.’</w:t>
      </w:r>
      <w:r w:rsidR="00DA795D" w:rsidRPr="00520C97">
        <w:rPr>
          <w:rStyle w:val="EndnoteReference"/>
          <w:rFonts w:ascii="Bookman Old Style" w:hAnsi="Bookman Old Style"/>
        </w:rPr>
        <w:endnoteReference w:id="4"/>
      </w:r>
      <w:r w:rsidR="00DA795D" w:rsidRPr="00520C97">
        <w:rPr>
          <w:rFonts w:ascii="Bookman Old Style" w:hAnsi="Bookman Old Style"/>
        </w:rPr>
        <w:t xml:space="preserve">  You have to embrace that ‘Writing is a socially acceptable form of schizophrenia.’</w:t>
      </w:r>
      <w:r w:rsidR="00DA795D" w:rsidRPr="00520C97">
        <w:rPr>
          <w:rStyle w:val="EndnoteReference"/>
          <w:rFonts w:ascii="Bookman Old Style" w:hAnsi="Bookman Old Style"/>
        </w:rPr>
        <w:endnoteReference w:id="5"/>
      </w:r>
      <w:r w:rsidR="00C20D5E" w:rsidRPr="00520C97">
        <w:rPr>
          <w:rFonts w:ascii="Bookman Old Style" w:hAnsi="Bookman Old Style"/>
        </w:rPr>
        <w:t xml:space="preserve">  For in reality, ‘A writer is someone who can make a riddle out of an answer,’</w:t>
      </w:r>
      <w:r w:rsidR="00C20D5E" w:rsidRPr="00520C97">
        <w:rPr>
          <w:rStyle w:val="EndnoteReference"/>
          <w:rFonts w:ascii="Bookman Old Style" w:hAnsi="Bookman Old Style"/>
        </w:rPr>
        <w:endnoteReference w:id="6"/>
      </w:r>
      <w:r w:rsidR="00C20D5E" w:rsidRPr="00520C97">
        <w:rPr>
          <w:rFonts w:ascii="Bookman Old Style" w:hAnsi="Bookman Old Style"/>
        </w:rPr>
        <w:t xml:space="preserve"> such as, ‘</w:t>
      </w:r>
      <w:proofErr w:type="gramStart"/>
      <w:r w:rsidR="00C20D5E" w:rsidRPr="00520C97">
        <w:rPr>
          <w:rFonts w:ascii="Bookman Old Style" w:hAnsi="Bookman Old Style"/>
        </w:rPr>
        <w:t>Why</w:t>
      </w:r>
      <w:proofErr w:type="gramEnd"/>
      <w:r w:rsidR="00C20D5E" w:rsidRPr="00520C97">
        <w:rPr>
          <w:rFonts w:ascii="Bookman Old Style" w:hAnsi="Bookman Old Style"/>
        </w:rPr>
        <w:t xml:space="preserve"> is a raven like a writing desk?’</w:t>
      </w:r>
      <w:r w:rsidR="00C20D5E" w:rsidRPr="00520C97">
        <w:rPr>
          <w:rStyle w:val="EndnoteReference"/>
          <w:rFonts w:ascii="Bookman Old Style" w:hAnsi="Bookman Old Style"/>
        </w:rPr>
        <w:endnoteReference w:id="7"/>
      </w:r>
      <w:r w:rsidR="00C20D5E" w:rsidRPr="00520C97">
        <w:rPr>
          <w:rFonts w:ascii="Bookman Old Style" w:hAnsi="Bookman Old Style"/>
        </w:rPr>
        <w:t xml:space="preserve">  Evermore, ‘The true genius shudders at incompleteness and truly prefers silence to saying something which is not everything it should be.’</w:t>
      </w:r>
      <w:r w:rsidR="00C20D5E" w:rsidRPr="00520C97">
        <w:rPr>
          <w:rStyle w:val="EndnoteReference"/>
          <w:rFonts w:ascii="Bookman Old Style" w:hAnsi="Bookman Old Style"/>
        </w:rPr>
        <w:endnoteReference w:id="8"/>
      </w:r>
      <w:r w:rsidR="00C20D5E" w:rsidRPr="00520C97">
        <w:rPr>
          <w:rFonts w:ascii="Bookman Old Style" w:hAnsi="Bookman Old Style"/>
        </w:rPr>
        <w:t xml:space="preserve">  So, make it count.  ‘And by the way, everything in life is writable about if you have the outgoing guts to do it and the imagination to improvise.  The worst enemy to creativity is self-doubt.’</w:t>
      </w:r>
      <w:r w:rsidR="00C20D5E" w:rsidRPr="00520C97">
        <w:rPr>
          <w:rStyle w:val="EndnoteReference"/>
          <w:rFonts w:ascii="Bookman Old Style" w:hAnsi="Bookman Old Style"/>
        </w:rPr>
        <w:endnoteReference w:id="9"/>
      </w:r>
      <w:r w:rsidR="00C20D5E" w:rsidRPr="00520C97">
        <w:rPr>
          <w:rFonts w:ascii="Bookman Old Style" w:hAnsi="Bookman Old Style"/>
        </w:rPr>
        <w:t xml:space="preserve">  It’s going to be hard, ‘The profession of book writing makes horse racing seem like a reliable, stable business.’</w:t>
      </w:r>
      <w:r w:rsidR="00C20D5E" w:rsidRPr="00520C97">
        <w:rPr>
          <w:rStyle w:val="EndnoteReference"/>
          <w:rFonts w:ascii="Bookman Old Style" w:hAnsi="Bookman Old Style"/>
        </w:rPr>
        <w:endnoteReference w:id="10"/>
      </w:r>
      <w:r w:rsidR="00C20D5E" w:rsidRPr="00520C97">
        <w:rPr>
          <w:rFonts w:ascii="Bookman Old Style" w:hAnsi="Bookman Old Style"/>
        </w:rPr>
        <w:t xml:space="preserve">  But don’t be afraid to call yourself a writer!  ‘Fear of the name increases fear of the thing of the thing itself.’</w:t>
      </w:r>
      <w:r w:rsidRPr="00520C97">
        <w:rPr>
          <w:rStyle w:val="EndnoteReference"/>
          <w:rFonts w:ascii="Bookman Old Style" w:hAnsi="Bookman Old Style"/>
        </w:rPr>
        <w:endnoteReference w:id="11"/>
      </w:r>
      <w:r w:rsidR="00C20D5E" w:rsidRPr="00520C97">
        <w:rPr>
          <w:rFonts w:ascii="Bookman Old Style" w:hAnsi="Bookman Old Style"/>
        </w:rPr>
        <w:t xml:space="preserve">  Make failure impossible, for ‘When you have eliminated the impossible, whatever remains, however improbable, must be the truth.’</w:t>
      </w:r>
      <w:r w:rsidRPr="00520C97">
        <w:rPr>
          <w:rStyle w:val="EndnoteReference"/>
          <w:rFonts w:ascii="Bookman Old Style" w:hAnsi="Bookman Old Style"/>
        </w:rPr>
        <w:endnoteReference w:id="12"/>
      </w:r>
      <w:r w:rsidR="00C20D5E" w:rsidRPr="00520C97">
        <w:rPr>
          <w:rFonts w:ascii="Bookman Old Style" w:hAnsi="Bookman Old Style"/>
        </w:rPr>
        <w:t xml:space="preserve">  Take risks in your writing, and know that ‘Not all those who wander are lost.’</w:t>
      </w:r>
      <w:r w:rsidRPr="00520C97">
        <w:rPr>
          <w:rStyle w:val="EndnoteReference"/>
          <w:rFonts w:ascii="Bookman Old Style" w:hAnsi="Bookman Old Style"/>
        </w:rPr>
        <w:endnoteReference w:id="13"/>
      </w:r>
      <w:r w:rsidR="00C20D5E" w:rsidRPr="00520C97">
        <w:rPr>
          <w:rFonts w:ascii="Bookman Old Style" w:hAnsi="Bookman Old Style"/>
        </w:rPr>
        <w:t xml:space="preserve">  Always remember, ‘There is no certainty, only opportunity.’</w:t>
      </w:r>
      <w:r w:rsidRPr="00520C97">
        <w:rPr>
          <w:rStyle w:val="EndnoteReference"/>
          <w:rFonts w:ascii="Bookman Old Style" w:hAnsi="Bookman Old Style"/>
        </w:rPr>
        <w:endnoteReference w:id="14"/>
      </w:r>
      <w:r w:rsidR="00C20D5E" w:rsidRPr="00520C97">
        <w:rPr>
          <w:rFonts w:ascii="Bookman Old Style" w:hAnsi="Bookman Old Style"/>
        </w:rPr>
        <w:t xml:space="preserve">  It is up to you, ‘It is not in the stars to hold our destiny, but in ourselves.’</w:t>
      </w:r>
      <w:r w:rsidRPr="00520C97">
        <w:rPr>
          <w:rStyle w:val="EndnoteReference"/>
          <w:rFonts w:ascii="Bookman Old Style" w:hAnsi="Bookman Old Style"/>
        </w:rPr>
        <w:endnoteReference w:id="15"/>
      </w:r>
      <w:r w:rsidR="00C20D5E" w:rsidRPr="00520C97">
        <w:rPr>
          <w:rFonts w:ascii="Bookman Old Style" w:hAnsi="Bookman Old Style"/>
        </w:rPr>
        <w:t xml:space="preserve">  And, ‘</w:t>
      </w:r>
      <w:proofErr w:type="gramStart"/>
      <w:r w:rsidR="00C20D5E" w:rsidRPr="00520C97">
        <w:rPr>
          <w:rFonts w:ascii="Bookman Old Style" w:hAnsi="Bookman Old Style"/>
        </w:rPr>
        <w:t>We</w:t>
      </w:r>
      <w:proofErr w:type="gramEnd"/>
      <w:r w:rsidR="00C20D5E" w:rsidRPr="00520C97">
        <w:rPr>
          <w:rFonts w:ascii="Bookman Old Style" w:hAnsi="Bookman Old Style"/>
        </w:rPr>
        <w:t xml:space="preserve"> die.  That may be the meaning of life.  But we do language.  That may be the measure of our lives.’</w:t>
      </w:r>
      <w:r w:rsidRPr="00520C97">
        <w:rPr>
          <w:rStyle w:val="EndnoteReference"/>
          <w:rFonts w:ascii="Bookman Old Style" w:hAnsi="Bookman Old Style"/>
        </w:rPr>
        <w:endnoteReference w:id="16"/>
      </w:r>
      <w:r w:rsidR="00C20D5E" w:rsidRPr="00520C97">
        <w:rPr>
          <w:rFonts w:ascii="Bookman Old Style" w:hAnsi="Bookman Old Style"/>
        </w:rPr>
        <w:t xml:space="preserve">  While you’re here, ‘Either write something worth reading or do something worth writing.’</w:t>
      </w:r>
      <w:r w:rsidRPr="00520C97">
        <w:rPr>
          <w:rStyle w:val="EndnoteReference"/>
          <w:rFonts w:ascii="Bookman Old Style" w:hAnsi="Bookman Old Style"/>
        </w:rPr>
        <w:endnoteReference w:id="17"/>
      </w:r>
      <w:r w:rsidR="00C20D5E" w:rsidRPr="00520C97">
        <w:rPr>
          <w:rFonts w:ascii="Bookman Old Style" w:hAnsi="Bookman Old Style"/>
        </w:rPr>
        <w:t xml:space="preserve">  Keep creating, and ‘May the odds be ever in your favor.’</w:t>
      </w:r>
      <w:r w:rsidR="00C20D5E" w:rsidRPr="00520C97">
        <w:rPr>
          <w:rStyle w:val="EndnoteReference"/>
          <w:rFonts w:ascii="Bookman Old Style" w:hAnsi="Bookman Old Style"/>
        </w:rPr>
        <w:endnoteReference w:id="18"/>
      </w:r>
      <w:r w:rsidRPr="00520C97">
        <w:rPr>
          <w:rFonts w:ascii="Bookman Old Style" w:hAnsi="Bookman Old Style"/>
          <w:b/>
        </w:rPr>
        <w:t>”</w:t>
      </w:r>
    </w:p>
    <w:sectPr w:rsidR="00DA795D" w:rsidRPr="00520C97" w:rsidSect="00DA795D">
      <w:pgSz w:w="12240" w:h="15840"/>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id="0">
    <w:p w:rsidR="0055698C" w:rsidRDefault="0055698C">
      <w:pPr>
        <w:pStyle w:val="EndnoteText"/>
      </w:pPr>
      <w:r>
        <w:rPr>
          <w:rStyle w:val="EndnoteReference"/>
        </w:rPr>
        <w:endnoteRef/>
      </w:r>
      <w:r>
        <w:t xml:space="preserve"> Thomas Mann, </w:t>
      </w:r>
      <w:r w:rsidRPr="003D784F">
        <w:rPr>
          <w:i/>
        </w:rPr>
        <w:t>Essays of Three Decades</w:t>
      </w:r>
      <w:r>
        <w:t>, 1947</w:t>
      </w:r>
    </w:p>
  </w:endnote>
  <w:endnote w:id="1">
    <w:p w:rsidR="0055698C" w:rsidRDefault="0055698C">
      <w:pPr>
        <w:pStyle w:val="EndnoteText"/>
      </w:pPr>
      <w:r>
        <w:rPr>
          <w:rStyle w:val="EndnoteReference"/>
        </w:rPr>
        <w:endnoteRef/>
      </w:r>
      <w:r>
        <w:t xml:space="preserve"> Harper Lee, “Interview with Harper Lee, by Roy </w:t>
      </w:r>
      <w:proofErr w:type="spellStart"/>
      <w:r>
        <w:t>Newquist</w:t>
      </w:r>
      <w:proofErr w:type="spellEnd"/>
      <w:r>
        <w:t>”, 1964</w:t>
      </w:r>
    </w:p>
  </w:endnote>
  <w:endnote w:id="2">
    <w:p w:rsidR="0055698C" w:rsidRDefault="0055698C">
      <w:pPr>
        <w:pStyle w:val="EndnoteText"/>
      </w:pPr>
      <w:r>
        <w:rPr>
          <w:rStyle w:val="EndnoteReference"/>
        </w:rPr>
        <w:endnoteRef/>
      </w:r>
      <w:r>
        <w:t xml:space="preserve"> Mark Twain, Letter to George </w:t>
      </w:r>
      <w:proofErr w:type="spellStart"/>
      <w:r>
        <w:t>Bainton</w:t>
      </w:r>
      <w:proofErr w:type="spellEnd"/>
      <w:r>
        <w:t>, 1888</w:t>
      </w:r>
    </w:p>
  </w:endnote>
  <w:endnote w:id="3">
    <w:p w:rsidR="0055698C" w:rsidRDefault="0055698C">
      <w:pPr>
        <w:pStyle w:val="EndnoteText"/>
      </w:pPr>
      <w:r>
        <w:rPr>
          <w:rStyle w:val="EndnoteReference"/>
        </w:rPr>
        <w:endnoteRef/>
      </w:r>
      <w:r>
        <w:t xml:space="preserve"> </w:t>
      </w:r>
      <w:proofErr w:type="spellStart"/>
      <w:r>
        <w:t>Anais</w:t>
      </w:r>
      <w:proofErr w:type="spellEnd"/>
      <w:r>
        <w:t xml:space="preserve"> Nin</w:t>
      </w:r>
      <w:r w:rsidR="00C21810">
        <w:t xml:space="preserve">, </w:t>
      </w:r>
      <w:r w:rsidR="00C21810" w:rsidRPr="00C21810">
        <w:t>http://www.brainyquote.com/</w:t>
      </w:r>
    </w:p>
  </w:endnote>
  <w:endnote w:id="4">
    <w:p w:rsidR="0055698C" w:rsidRDefault="0055698C">
      <w:pPr>
        <w:pStyle w:val="EndnoteText"/>
      </w:pPr>
      <w:r>
        <w:rPr>
          <w:rStyle w:val="EndnoteReference"/>
        </w:rPr>
        <w:endnoteRef/>
      </w:r>
      <w:r>
        <w:t xml:space="preserve"> Tennessee Williams</w:t>
      </w:r>
      <w:r w:rsidR="00C21810">
        <w:t xml:space="preserve">, </w:t>
      </w:r>
      <w:r w:rsidR="00C21810" w:rsidRPr="00C21810">
        <w:t>http://www.brainyquote.com/</w:t>
      </w:r>
    </w:p>
  </w:endnote>
  <w:endnote w:id="5">
    <w:p w:rsidR="0055698C" w:rsidRDefault="0055698C">
      <w:pPr>
        <w:pStyle w:val="EndnoteText"/>
      </w:pPr>
      <w:r>
        <w:rPr>
          <w:rStyle w:val="EndnoteReference"/>
        </w:rPr>
        <w:endnoteRef/>
      </w:r>
      <w:r w:rsidR="00C21810">
        <w:t xml:space="preserve"> E.L. Doctorow, </w:t>
      </w:r>
      <w:r w:rsidR="00C21810" w:rsidRPr="00C21810">
        <w:t>http://www.brainyquote.com/</w:t>
      </w:r>
    </w:p>
  </w:endnote>
  <w:endnote w:id="6">
    <w:p w:rsidR="0055698C" w:rsidRDefault="0055698C">
      <w:pPr>
        <w:pStyle w:val="EndnoteText"/>
      </w:pPr>
      <w:r>
        <w:rPr>
          <w:rStyle w:val="EndnoteReference"/>
        </w:rPr>
        <w:endnoteRef/>
      </w:r>
      <w:r>
        <w:t xml:space="preserve"> Karl Krauss</w:t>
      </w:r>
      <w:r w:rsidR="00C21810">
        <w:t xml:space="preserve">, </w:t>
      </w:r>
      <w:r w:rsidR="00C21810" w:rsidRPr="00C21810">
        <w:t>http://www.brainyquote.com/</w:t>
      </w:r>
    </w:p>
  </w:endnote>
  <w:endnote w:id="7">
    <w:p w:rsidR="0055698C" w:rsidRDefault="0055698C">
      <w:pPr>
        <w:pStyle w:val="EndnoteText"/>
      </w:pPr>
      <w:r>
        <w:rPr>
          <w:rStyle w:val="EndnoteReference"/>
        </w:rPr>
        <w:endnoteRef/>
      </w:r>
      <w:r>
        <w:t xml:space="preserve"> Lewis Carroll, </w:t>
      </w:r>
      <w:r w:rsidRPr="00180648">
        <w:rPr>
          <w:i/>
        </w:rPr>
        <w:t>Alice’s Adventures in Wonderland</w:t>
      </w:r>
      <w:r>
        <w:t>, 1865</w:t>
      </w:r>
    </w:p>
  </w:endnote>
  <w:endnote w:id="8">
    <w:p w:rsidR="0055698C" w:rsidRDefault="0055698C">
      <w:pPr>
        <w:pStyle w:val="EndnoteText"/>
      </w:pPr>
      <w:r>
        <w:rPr>
          <w:rStyle w:val="EndnoteReference"/>
        </w:rPr>
        <w:endnoteRef/>
      </w:r>
      <w:r>
        <w:t xml:space="preserve"> Edgar Allen Poe</w:t>
      </w:r>
      <w:r w:rsidR="00C21810">
        <w:t xml:space="preserve">, </w:t>
      </w:r>
      <w:r w:rsidR="00C21810" w:rsidRPr="00C21810">
        <w:t>http://www.brainyquote.com/</w:t>
      </w:r>
    </w:p>
  </w:endnote>
  <w:endnote w:id="9">
    <w:p w:rsidR="0055698C" w:rsidRDefault="0055698C">
      <w:pPr>
        <w:pStyle w:val="EndnoteText"/>
      </w:pPr>
      <w:r>
        <w:rPr>
          <w:rStyle w:val="EndnoteReference"/>
        </w:rPr>
        <w:endnoteRef/>
      </w:r>
      <w:r>
        <w:t xml:space="preserve"> Sylvia Plath</w:t>
      </w:r>
      <w:r w:rsidR="00C21810">
        <w:t xml:space="preserve">, </w:t>
      </w:r>
      <w:r w:rsidR="00C21810" w:rsidRPr="00C21810">
        <w:t>http://www.brainyquote.com/</w:t>
      </w:r>
    </w:p>
  </w:endnote>
  <w:endnote w:id="10">
    <w:p w:rsidR="0055698C" w:rsidRDefault="0055698C">
      <w:pPr>
        <w:pStyle w:val="EndnoteText"/>
      </w:pPr>
      <w:r>
        <w:rPr>
          <w:rStyle w:val="EndnoteReference"/>
        </w:rPr>
        <w:endnoteRef/>
      </w:r>
      <w:r>
        <w:t xml:space="preserve"> John Steinbeck, Conversations, 1988</w:t>
      </w:r>
    </w:p>
  </w:endnote>
  <w:endnote w:id="11">
    <w:p w:rsidR="0055698C" w:rsidRPr="00180648" w:rsidRDefault="0055698C">
      <w:pPr>
        <w:pStyle w:val="EndnoteText"/>
      </w:pPr>
      <w:r>
        <w:rPr>
          <w:rStyle w:val="EndnoteReference"/>
        </w:rPr>
        <w:endnoteRef/>
      </w:r>
      <w:r>
        <w:t xml:space="preserve"> J.K. Rowling, </w:t>
      </w:r>
      <w:r w:rsidRPr="00180648">
        <w:rPr>
          <w:i/>
        </w:rPr>
        <w:t>Harry Potter and the Sorcerer’s Stone</w:t>
      </w:r>
      <w:r>
        <w:rPr>
          <w:i/>
        </w:rPr>
        <w:t>,</w:t>
      </w:r>
      <w:r>
        <w:t xml:space="preserve"> 1997</w:t>
      </w:r>
    </w:p>
  </w:endnote>
  <w:endnote w:id="12">
    <w:p w:rsidR="0055698C" w:rsidRDefault="0055698C">
      <w:pPr>
        <w:pStyle w:val="EndnoteText"/>
      </w:pPr>
      <w:r>
        <w:rPr>
          <w:rStyle w:val="EndnoteReference"/>
        </w:rPr>
        <w:endnoteRef/>
      </w:r>
      <w:r>
        <w:t xml:space="preserve"> Sir Arthur Conan Doyle, </w:t>
      </w:r>
      <w:r w:rsidRPr="0055698C">
        <w:rPr>
          <w:i/>
        </w:rPr>
        <w:t>The Sign of the Four</w:t>
      </w:r>
      <w:r>
        <w:t>, 1890</w:t>
      </w:r>
    </w:p>
  </w:endnote>
  <w:endnote w:id="13">
    <w:p w:rsidR="0055698C" w:rsidRDefault="0055698C">
      <w:pPr>
        <w:pStyle w:val="EndnoteText"/>
      </w:pPr>
      <w:r>
        <w:rPr>
          <w:rStyle w:val="EndnoteReference"/>
        </w:rPr>
        <w:endnoteRef/>
      </w:r>
      <w:r>
        <w:t xml:space="preserve"> J.R.R. Tolkien, </w:t>
      </w:r>
      <w:r w:rsidRPr="0055698C">
        <w:rPr>
          <w:i/>
        </w:rPr>
        <w:t>Lord of the Rings: The Fellowship of the Ring</w:t>
      </w:r>
      <w:r>
        <w:t>, 1954</w:t>
      </w:r>
    </w:p>
  </w:endnote>
  <w:endnote w:id="14">
    <w:p w:rsidR="0055698C" w:rsidRDefault="0055698C">
      <w:pPr>
        <w:pStyle w:val="EndnoteText"/>
      </w:pPr>
      <w:r>
        <w:rPr>
          <w:rStyle w:val="EndnoteReference"/>
        </w:rPr>
        <w:endnoteRef/>
      </w:r>
      <w:r>
        <w:t xml:space="preserve"> Alan Moore, </w:t>
      </w:r>
      <w:r w:rsidRPr="0055698C">
        <w:rPr>
          <w:i/>
        </w:rPr>
        <w:t>V for Vendetta</w:t>
      </w:r>
      <w:r>
        <w:t>, 1982</w:t>
      </w:r>
    </w:p>
  </w:endnote>
  <w:endnote w:id="15">
    <w:p w:rsidR="0055698C" w:rsidRDefault="0055698C">
      <w:pPr>
        <w:pStyle w:val="EndnoteText"/>
      </w:pPr>
      <w:r>
        <w:rPr>
          <w:rStyle w:val="EndnoteReference"/>
        </w:rPr>
        <w:endnoteRef/>
      </w:r>
      <w:r>
        <w:t xml:space="preserve"> William Shakespeare, </w:t>
      </w:r>
      <w:r w:rsidRPr="0055698C">
        <w:rPr>
          <w:i/>
        </w:rPr>
        <w:t>Julius Caesar</w:t>
      </w:r>
      <w:r>
        <w:t>, 1599</w:t>
      </w:r>
    </w:p>
  </w:endnote>
  <w:endnote w:id="16">
    <w:p w:rsidR="0055698C" w:rsidRDefault="0055698C">
      <w:pPr>
        <w:pStyle w:val="EndnoteText"/>
      </w:pPr>
      <w:r>
        <w:rPr>
          <w:rStyle w:val="EndnoteReference"/>
        </w:rPr>
        <w:endnoteRef/>
      </w:r>
      <w:r>
        <w:t xml:space="preserve"> Toni Morrison, Nobel Lecture, 1993</w:t>
      </w:r>
    </w:p>
  </w:endnote>
  <w:endnote w:id="17">
    <w:p w:rsidR="0055698C" w:rsidRDefault="0055698C">
      <w:pPr>
        <w:pStyle w:val="EndnoteText"/>
      </w:pPr>
      <w:r>
        <w:rPr>
          <w:rStyle w:val="EndnoteReference"/>
        </w:rPr>
        <w:endnoteRef/>
      </w:r>
      <w:r>
        <w:t xml:space="preserve"> Benjamin Franklin</w:t>
      </w:r>
      <w:r w:rsidR="00C21810">
        <w:t xml:space="preserve">, </w:t>
      </w:r>
      <w:r w:rsidR="00C21810" w:rsidRPr="00C21810">
        <w:t>http://www.brainyquote.com/</w:t>
      </w:r>
    </w:p>
  </w:endnote>
  <w:endnote w:id="18">
    <w:p w:rsidR="0055698C" w:rsidRDefault="0055698C">
      <w:pPr>
        <w:pStyle w:val="EndnoteText"/>
      </w:pPr>
      <w:r>
        <w:rPr>
          <w:rStyle w:val="EndnoteReference"/>
        </w:rPr>
        <w:endnoteRef/>
      </w:r>
      <w:r>
        <w:t xml:space="preserve"> Suzanne Collins, </w:t>
      </w:r>
      <w:r w:rsidRPr="0055698C">
        <w:rPr>
          <w:i/>
        </w:rPr>
        <w:t>The Hunger Games</w:t>
      </w:r>
      <w:r>
        <w:t>, 2008</w:t>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endnotePr>
    <w:numFmt w:val="decimal"/>
  </w:endnotePr>
  <w:compat>
    <w:doNotAutofitConstrainedTables/>
    <w:doNotVertAlignCellWithSp/>
    <w:doNotBreakConstrainedForcedTable/>
    <w:useAnsiKerningPairs/>
    <w:cachedColBalance/>
    <w:splitPgBreakAndParaMark/>
  </w:compat>
  <w:rsids>
    <w:rsidRoot w:val="00DA795D"/>
    <w:rsid w:val="00180648"/>
    <w:rsid w:val="003D784F"/>
    <w:rsid w:val="00520C97"/>
    <w:rsid w:val="0055698C"/>
    <w:rsid w:val="00874E7E"/>
    <w:rsid w:val="00980E96"/>
    <w:rsid w:val="00C20D5E"/>
    <w:rsid w:val="00C21810"/>
    <w:rsid w:val="00DA795D"/>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CC"/>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DA795D"/>
    <w:pPr>
      <w:spacing w:after="0"/>
    </w:pPr>
  </w:style>
  <w:style w:type="character" w:customStyle="1" w:styleId="FootnoteTextChar">
    <w:name w:val="Footnote Text Char"/>
    <w:basedOn w:val="DefaultParagraphFont"/>
    <w:link w:val="FootnoteText"/>
    <w:uiPriority w:val="99"/>
    <w:semiHidden/>
    <w:rsid w:val="00DA795D"/>
    <w:rPr>
      <w:rFonts w:ascii="Times New Roman" w:hAnsi="Times New Roman"/>
    </w:rPr>
  </w:style>
  <w:style w:type="character" w:styleId="FootnoteReference">
    <w:name w:val="footnote reference"/>
    <w:basedOn w:val="DefaultParagraphFont"/>
    <w:uiPriority w:val="99"/>
    <w:semiHidden/>
    <w:unhideWhenUsed/>
    <w:rsid w:val="00DA795D"/>
    <w:rPr>
      <w:vertAlign w:val="superscript"/>
    </w:rPr>
  </w:style>
  <w:style w:type="paragraph" w:styleId="EndnoteText">
    <w:name w:val="endnote text"/>
    <w:basedOn w:val="Normal"/>
    <w:link w:val="EndnoteTextChar"/>
    <w:uiPriority w:val="99"/>
    <w:semiHidden/>
    <w:unhideWhenUsed/>
    <w:rsid w:val="00DA795D"/>
    <w:pPr>
      <w:spacing w:after="0"/>
    </w:pPr>
  </w:style>
  <w:style w:type="character" w:customStyle="1" w:styleId="EndnoteTextChar">
    <w:name w:val="Endnote Text Char"/>
    <w:basedOn w:val="DefaultParagraphFont"/>
    <w:link w:val="EndnoteText"/>
    <w:uiPriority w:val="99"/>
    <w:semiHidden/>
    <w:rsid w:val="00DA795D"/>
    <w:rPr>
      <w:rFonts w:ascii="Times New Roman" w:hAnsi="Times New Roman"/>
    </w:rPr>
  </w:style>
  <w:style w:type="character" w:styleId="EndnoteReference">
    <w:name w:val="endnote reference"/>
    <w:basedOn w:val="DefaultParagraphFont"/>
    <w:uiPriority w:val="99"/>
    <w:semiHidden/>
    <w:unhideWhenUsed/>
    <w:rsid w:val="00DA795D"/>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289</Words>
  <Characters>1650</Characters>
  <Application>Microsoft Macintosh Word</Application>
  <DocSecurity>0</DocSecurity>
  <Lines>13</Lines>
  <Paragraphs>3</Paragraphs>
  <ScaleCrop>false</ScaleCrop>
  <Company>None</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Domalski</dc:creator>
  <cp:keywords/>
  <cp:lastModifiedBy>McKenna Domalski</cp:lastModifiedBy>
  <cp:revision>3</cp:revision>
  <dcterms:created xsi:type="dcterms:W3CDTF">2012-02-10T19:31:00Z</dcterms:created>
  <dcterms:modified xsi:type="dcterms:W3CDTF">2012-02-11T17:25:00Z</dcterms:modified>
</cp:coreProperties>
</file>